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C387" w14:textId="77777777" w:rsidR="00217ADA" w:rsidRPr="002451FA" w:rsidRDefault="00217ADA" w:rsidP="00217A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Supervisors and projects</w:t>
      </w:r>
    </w:p>
    <w:p w14:paraId="5F48D301" w14:textId="77777777" w:rsidR="00217ADA" w:rsidRDefault="00217ADA" w:rsidP="00217ADA">
      <w:r>
        <w:t xml:space="preserve">The successful candidate will be based within the Centre of Surgical Research (CSR) at the, Bristol Medical School, University of Bristol. The intern will work within a team of methodologists in the NIHR Bristol Biomedical Research Centre (BRC) Surgical and Orthopaedic Innovation theme and the University of Bristol Centre for Surgical Research. </w:t>
      </w:r>
    </w:p>
    <w:p w14:paraId="07D3B9B7" w14:textId="77777777" w:rsidR="00217ADA" w:rsidRDefault="00217ADA" w:rsidP="00217ADA">
      <w:r>
        <w:t>The internship will be embedded in an ongoing research project using real-world data. The ALPACA (</w:t>
      </w:r>
      <w:proofErr w:type="spellStart"/>
      <w:r>
        <w:t>reAL-time</w:t>
      </w:r>
      <w:proofErr w:type="spellEnd"/>
      <w:r>
        <w:t xml:space="preserve"> </w:t>
      </w:r>
      <w:proofErr w:type="spellStart"/>
      <w:r>
        <w:t>eProms</w:t>
      </w:r>
      <w:proofErr w:type="spellEnd"/>
      <w:r>
        <w:t xml:space="preserve"> for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>) study aims to co-develop an inclusive decision support intervention</w:t>
      </w:r>
      <w:r w:rsidRPr="42F613E8">
        <w:rPr>
          <w:rFonts w:ascii="ArialMT" w:hAnsi="ArialMT" w:cs="ArialMT"/>
          <w:sz w:val="20"/>
          <w:szCs w:val="20"/>
        </w:rPr>
        <w:t xml:space="preserve"> </w:t>
      </w:r>
      <w:r>
        <w:t xml:space="preserve">to optimise shared decision making (SDM) for patients who have been offered treatment involving surgery. The programme implemented a system for automated, real-time measurement and feedback of patients’ experiences of SDM using electronic patient-reported measures. It informs a quality improvement project at a local National Health Service Trust. </w:t>
      </w:r>
    </w:p>
    <w:p w14:paraId="6088479E" w14:textId="77777777" w:rsidR="00217ADA" w:rsidRPr="006C6880" w:rsidRDefault="00217ADA" w:rsidP="00217ADA">
      <w:r>
        <w:t xml:space="preserve">There will be </w:t>
      </w:r>
      <w:r w:rsidRPr="0094152F">
        <w:rPr>
          <w:b/>
          <w:bCs/>
        </w:rPr>
        <w:t>opportunities to attend seminars, events and team meetings</w:t>
      </w:r>
      <w:r w:rsidRPr="00374190">
        <w:t>, and gain experience of successful ways of working</w:t>
      </w:r>
      <w:r>
        <w:t xml:space="preserve"> within a multidisciplinary environment. </w:t>
      </w:r>
      <w:r w:rsidRPr="006729AA">
        <w:t>NIHR Bristol BRC and CSR research is multi-disciplinary, characterised by strong collaborative</w:t>
      </w:r>
      <w:r>
        <w:t xml:space="preserve"> </w:t>
      </w:r>
      <w:r w:rsidRPr="006729AA">
        <w:t>work between academic healthcare professionals, methodologists and health services researchers across</w:t>
      </w:r>
      <w:r>
        <w:t xml:space="preserve"> </w:t>
      </w:r>
      <w:r w:rsidRPr="006729AA">
        <w:t xml:space="preserve">universities and the NHS. </w:t>
      </w:r>
      <w:r w:rsidRPr="0094152F">
        <w:t xml:space="preserve">The ALPACA study </w:t>
      </w:r>
      <w:r>
        <w:t xml:space="preserve">also </w:t>
      </w:r>
      <w:r w:rsidRPr="0094152F">
        <w:t>benefits from a well-established and diverse patient advisory group with extensive patient,</w:t>
      </w:r>
      <w:r>
        <w:t xml:space="preserve"> </w:t>
      </w:r>
      <w:r w:rsidRPr="0094152F">
        <w:t>public, community involvement and engagement (PPCIE) activities. The intern will have the opportunity to shadow and actively participate in PPCIE activities (e.g.</w:t>
      </w:r>
      <w:r>
        <w:t xml:space="preserve"> </w:t>
      </w:r>
      <w:r w:rsidRPr="0094152F">
        <w:t xml:space="preserve">attend PPCIE meetings/events). </w:t>
      </w:r>
    </w:p>
    <w:p w14:paraId="673063B2" w14:textId="77777777" w:rsidR="00217ADA" w:rsidRPr="00D327F9" w:rsidRDefault="00217ADA" w:rsidP="00217ADA">
      <w:r w:rsidRPr="42F613E8">
        <w:rPr>
          <w:b/>
          <w:bCs/>
        </w:rPr>
        <w:t>The supervisory team</w:t>
      </w:r>
      <w:r>
        <w:t xml:space="preserve"> consists of clinical and non-clinical researchers from various backgrounds (health services, social sciences). Supervision will be led by </w:t>
      </w:r>
      <w:hyperlink r:id="rId5">
        <w:r w:rsidRPr="42F613E8">
          <w:rPr>
            <w:rStyle w:val="Hyperlink"/>
          </w:rPr>
          <w:t>Christin Hoffmann</w:t>
        </w:r>
      </w:hyperlink>
      <w:r>
        <w:t xml:space="preserve"> (Research Fellow) and day-to-day supervision will be supported by </w:t>
      </w:r>
      <w:hyperlink r:id="rId6">
        <w:r w:rsidRPr="42F613E8">
          <w:rPr>
            <w:rStyle w:val="Hyperlink"/>
          </w:rPr>
          <w:t xml:space="preserve">Rhiannon </w:t>
        </w:r>
        <w:proofErr w:type="spellStart"/>
        <w:r w:rsidRPr="42F613E8">
          <w:rPr>
            <w:rStyle w:val="Hyperlink"/>
          </w:rPr>
          <w:t>Macefield</w:t>
        </w:r>
        <w:proofErr w:type="spellEnd"/>
      </w:hyperlink>
      <w:r>
        <w:t xml:space="preserve"> (Senior Research Fellow) and </w:t>
      </w:r>
      <w:hyperlink r:id="rId7">
        <w:r w:rsidRPr="42F613E8">
          <w:rPr>
            <w:rStyle w:val="Hyperlink"/>
          </w:rPr>
          <w:t>Sam Lawday</w:t>
        </w:r>
      </w:hyperlink>
      <w:r>
        <w:t xml:space="preserve"> (NIHR Doctoral Research Fellow). The candidate will be supported through regular meetings, either in-person and/or remotely. </w:t>
      </w:r>
    </w:p>
    <w:p w14:paraId="466D81B3" w14:textId="77777777" w:rsidR="00217ADA" w:rsidRDefault="00217ADA" w:rsidP="00217ADA">
      <w:r>
        <w:t>Further information about the team and projects</w:t>
      </w:r>
    </w:p>
    <w:p w14:paraId="7215884A" w14:textId="77777777" w:rsidR="00217ADA" w:rsidRDefault="00217ADA" w:rsidP="00217ADA">
      <w:pPr>
        <w:pStyle w:val="ListParagraph"/>
        <w:numPr>
          <w:ilvl w:val="0"/>
          <w:numId w:val="1"/>
        </w:numPr>
      </w:pPr>
      <w:r>
        <w:t>Centre for Surgical Research:</w:t>
      </w:r>
      <w:r w:rsidRPr="00E92412">
        <w:t xml:space="preserve"> </w:t>
      </w:r>
      <w:hyperlink r:id="rId8" w:history="1">
        <w:r>
          <w:rPr>
            <w:rStyle w:val="Hyperlink"/>
          </w:rPr>
          <w:t>https://www.bristol.ac.uk/population-health-sciences/centres/surgical-research/</w:t>
        </w:r>
      </w:hyperlink>
    </w:p>
    <w:p w14:paraId="3F1A7E09" w14:textId="77777777" w:rsidR="00217ADA" w:rsidRDefault="00217ADA" w:rsidP="00217ADA">
      <w:pPr>
        <w:pStyle w:val="ListParagraph"/>
        <w:numPr>
          <w:ilvl w:val="0"/>
          <w:numId w:val="1"/>
        </w:numPr>
      </w:pPr>
      <w:r>
        <w:t xml:space="preserve">NIHR Bristol BRC Surgical and </w:t>
      </w:r>
      <w:proofErr w:type="spellStart"/>
      <w:r>
        <w:t>Orthopeadic</w:t>
      </w:r>
      <w:proofErr w:type="spellEnd"/>
      <w:r>
        <w:t xml:space="preserve"> Innovation theme: </w:t>
      </w:r>
      <w:hyperlink r:id="rId9">
        <w:r w:rsidRPr="42F613E8">
          <w:rPr>
            <w:rStyle w:val="Hyperlink"/>
          </w:rPr>
          <w:t>https://www.bristolbrc.nihr.ac.uk/research/surgical-and-orthopaedic-innovation/</w:t>
        </w:r>
      </w:hyperlink>
      <w:r>
        <w:t xml:space="preserve"> </w:t>
      </w:r>
    </w:p>
    <w:p w14:paraId="4DF13F0F" w14:textId="77777777" w:rsidR="00FA291F" w:rsidRDefault="00FA291F"/>
    <w:sectPr w:rsidR="00FA2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E10E4"/>
    <w:multiLevelType w:val="hybridMultilevel"/>
    <w:tmpl w:val="6890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13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DA"/>
    <w:rsid w:val="00217ADA"/>
    <w:rsid w:val="002C51AC"/>
    <w:rsid w:val="00750B8C"/>
    <w:rsid w:val="00AB474F"/>
    <w:rsid w:val="00FA291F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FCC5"/>
  <w15:chartTrackingRefBased/>
  <w15:docId w15:val="{FB8ACBD4-2BFF-477C-9DC8-E73EDE1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A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A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ac.uk/population-health-sciences/centres/surgical-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stol.ac.uk/people/person/Sam-Lawday-cdea99a4-6e70-4d68-888e-6f0e4d9949d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-information.bris.ac.uk/en/persons/rhiannon-c-macefiel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istol.ac.uk/people/person/Christin-Hoffmann-926f6fe6-037a-4f61-b505-b5865b6e685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istolbrc.nihr.ac.uk/research/surgical-and-orthopaedic-innov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Holliday</dc:creator>
  <cp:keywords/>
  <dc:description/>
  <cp:lastModifiedBy>Jerry Holliday</cp:lastModifiedBy>
  <cp:revision>1</cp:revision>
  <dcterms:created xsi:type="dcterms:W3CDTF">2025-04-10T09:30:00Z</dcterms:created>
  <dcterms:modified xsi:type="dcterms:W3CDTF">2025-04-10T09:31:00Z</dcterms:modified>
</cp:coreProperties>
</file>